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B80" w:rsidRDefault="007A2B80" w:rsidP="007A2B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2B80" w:rsidRDefault="007A2B80" w:rsidP="007A2B80">
      <w:pPr>
        <w:pStyle w:val="a8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br/>
        <w:t>Приложение</w:t>
      </w:r>
    </w:p>
    <w:p w:rsidR="00375A89" w:rsidRDefault="00375A89" w:rsidP="00375A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5A89" w:rsidRPr="00EB0EE3" w:rsidRDefault="00375A89" w:rsidP="00375A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B0EE3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EB0EE3" w:rsidRPr="00EB0EE3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EB0EE3">
        <w:rPr>
          <w:rFonts w:ascii="Times New Roman" w:hAnsi="Times New Roman"/>
          <w:b/>
          <w:sz w:val="26"/>
          <w:szCs w:val="26"/>
        </w:rPr>
        <w:t>проекта</w:t>
      </w:r>
      <w:r w:rsidR="00EB0EE3" w:rsidRPr="00EB0EE3">
        <w:rPr>
          <w:rFonts w:ascii="Times New Roman" w:hAnsi="Times New Roman"/>
          <w:b/>
          <w:sz w:val="26"/>
          <w:szCs w:val="26"/>
        </w:rPr>
        <w:t xml:space="preserve"> «Моя карьера с Единой Россией»</w:t>
      </w:r>
    </w:p>
    <w:p w:rsidR="00375A89" w:rsidRPr="00EB0EE3" w:rsidRDefault="00375A89" w:rsidP="00375A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492"/>
      </w:tblGrid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EB0EE3" w:rsidP="00EB0E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Моя карьера с Единой Россией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000D8E" w:rsidP="00AD4D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Исаев А</w:t>
            </w:r>
            <w:r w:rsidR="00EB0EE3" w:rsidRPr="00EB0EE3">
              <w:rPr>
                <w:rFonts w:ascii="Times New Roman" w:hAnsi="Times New Roman"/>
                <w:sz w:val="26"/>
                <w:szCs w:val="26"/>
              </w:rPr>
              <w:t>ндрей Константинович,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 xml:space="preserve"> координатор направления «Хорошая работа – достаток в доме» Народной программы, заместитель руководителя фракции </w:t>
            </w:r>
            <w:r w:rsidRPr="007032C1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 xml:space="preserve"> в Г</w:t>
            </w:r>
            <w:r w:rsidR="00AD4D8D">
              <w:rPr>
                <w:rFonts w:ascii="Times New Roman" w:hAnsi="Times New Roman"/>
                <w:sz w:val="26"/>
                <w:szCs w:val="26"/>
              </w:rPr>
              <w:t>осударственной Думе Федерального Собрания Российской Федерации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AC" w:rsidRDefault="00606340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На фоне исторически низкого – менее 3% – уровня безработицы и динамичного роста числа занятых граждан </w:t>
            </w:r>
            <w:r w:rsidR="006001AC">
              <w:rPr>
                <w:rFonts w:ascii="Times New Roman" w:hAnsi="Times New Roman"/>
                <w:sz w:val="26"/>
                <w:szCs w:val="26"/>
              </w:rPr>
              <w:t>необходимо обеспечить кадровую сбалансированность. Развитие экономики возможно исключительно на базе системы качественной подготовки</w:t>
            </w:r>
            <w:r w:rsidR="0049142B">
              <w:rPr>
                <w:rFonts w:ascii="Times New Roman" w:hAnsi="Times New Roman"/>
                <w:sz w:val="26"/>
                <w:szCs w:val="26"/>
              </w:rPr>
              <w:t xml:space="preserve"> высококлассных профессионалов </w:t>
            </w:r>
            <w:r w:rsidR="006001AC">
              <w:rPr>
                <w:rFonts w:ascii="Times New Roman" w:hAnsi="Times New Roman"/>
                <w:sz w:val="26"/>
                <w:szCs w:val="26"/>
              </w:rPr>
              <w:t xml:space="preserve">по всем востребованным специальностям. Для этого необходимо создать все условия для профессиональной ориентации, дополнительного </w:t>
            </w:r>
            <w:r w:rsidR="0049142B">
              <w:rPr>
                <w:rFonts w:ascii="Times New Roman" w:hAnsi="Times New Roman"/>
                <w:sz w:val="26"/>
                <w:szCs w:val="26"/>
              </w:rPr>
              <w:t>образования, переподготовки</w:t>
            </w:r>
            <w:r w:rsidR="006001AC">
              <w:rPr>
                <w:rFonts w:ascii="Times New Roman" w:hAnsi="Times New Roman"/>
                <w:sz w:val="26"/>
                <w:szCs w:val="26"/>
              </w:rPr>
              <w:t xml:space="preserve"> и повысить эффективность системы трудоустройства. </w:t>
            </w:r>
          </w:p>
          <w:p w:rsidR="00606340" w:rsidRPr="00EB0EE3" w:rsidRDefault="00884C03" w:rsidP="00884C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E21EAD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  <w:r w:rsidR="00375A89" w:rsidRPr="00EB0EE3">
              <w:rPr>
                <w:rFonts w:ascii="Times New Roman" w:hAnsi="Times New Roman"/>
                <w:sz w:val="26"/>
                <w:szCs w:val="26"/>
              </w:rPr>
              <w:t xml:space="preserve"> проекта</w:t>
            </w:r>
          </w:p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6001AC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Помощь</w:t>
            </w:r>
            <w:r w:rsidR="00000D8E" w:rsidRPr="00EB0EE3">
              <w:rPr>
                <w:rFonts w:ascii="Times New Roman" w:hAnsi="Times New Roman"/>
                <w:sz w:val="26"/>
                <w:szCs w:val="26"/>
              </w:rPr>
              <w:t xml:space="preserve"> гражданам России в профориентации, дополнительном профессиональном образовании, трудоустройстве и создании условий для карьерного роста.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8E" w:rsidRPr="00EB0EE3" w:rsidRDefault="00000D8E" w:rsidP="00000D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Использовать политический и организационный потенциал Партии для содействия гражданам в вопросах трудоустройства, карьерного развития.</w:t>
            </w:r>
          </w:p>
          <w:p w:rsidR="00000D8E" w:rsidRPr="00EB0EE3" w:rsidRDefault="00000D8E" w:rsidP="00000D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2.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Содействовать работодателям в привлечении и повышении качества трудовых ресурсов через партийные механизмы.</w:t>
            </w:r>
          </w:p>
          <w:p w:rsidR="00000D8E" w:rsidRPr="00EB0EE3" w:rsidRDefault="00000D8E" w:rsidP="00000D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3.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Укреплять партнерство Партии и государственной службы занятости с целью максимального удовлетворения потребности граждан в сфере труда и занятости.</w:t>
            </w:r>
          </w:p>
          <w:p w:rsidR="00000D8E" w:rsidRPr="00EB0EE3" w:rsidRDefault="00000D8E" w:rsidP="00000D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4.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Повышать электоральную привлекательность Партии и расширять число сторонников за счет создания благоприятных условий для труда и решения вопросов конкретных граждан в сфере труда и занятости.</w:t>
            </w:r>
          </w:p>
          <w:p w:rsidR="00375A89" w:rsidRPr="00EB0EE3" w:rsidRDefault="00000D8E" w:rsidP="00000D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5.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Оказывать поддержку отдельным категориям граждан, в том числе членам семей участников СВО и гражданам, переехавшим из новых субъектов РФ, в сфере труда и занятости.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89" w:rsidRPr="00EB0EE3" w:rsidRDefault="00375A89" w:rsidP="007B66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Основные формы работы</w:t>
            </w:r>
          </w:p>
          <w:p w:rsidR="00375A89" w:rsidRPr="00EB0EE3" w:rsidRDefault="00375A89" w:rsidP="007B66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B0EE3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F5" w:rsidRPr="00EB0EE3" w:rsidRDefault="001157F5" w:rsidP="001157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Открытие Цифровых карьерных центров.</w:t>
            </w:r>
          </w:p>
          <w:p w:rsidR="00375A89" w:rsidRPr="00EB0EE3" w:rsidRDefault="001157F5" w:rsidP="001157F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На базе ШОП/РОП/ЦЗН открываются Цифровые карьерные центры. В Центрах организуются точки доступа к порталу «Работа в России» в целях получения государственных услуг и сервисов гражданами различных категорий.</w:t>
            </w:r>
          </w:p>
          <w:p w:rsidR="004B7BA8" w:rsidRPr="00EB0EE3" w:rsidRDefault="004B7BA8" w:rsidP="004B7B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Профориентационные</w:t>
            </w:r>
            <w:proofErr w:type="spellEnd"/>
            <w:r w:rsidRPr="00EB0EE3">
              <w:rPr>
                <w:rFonts w:ascii="Times New Roman" w:hAnsi="Times New Roman"/>
                <w:sz w:val="26"/>
                <w:szCs w:val="26"/>
              </w:rPr>
              <w:t xml:space="preserve"> туры для граждан.</w:t>
            </w:r>
          </w:p>
          <w:p w:rsidR="004B7BA8" w:rsidRPr="00EB0EE3" w:rsidRDefault="004B7BA8" w:rsidP="004B7B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цикла экскурсий на предприятия для граждан с участием, как правило, ответственного депутата Партии, или руководителей предприятий - членов Партии и сотрудника службы занятости населения.</w:t>
            </w:r>
          </w:p>
          <w:p w:rsidR="004B7BA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3.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 xml:space="preserve">Массовые мероприятия по трудоустройству (в </w:t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EB0EE3">
              <w:rPr>
                <w:rFonts w:ascii="Times New Roman" w:hAnsi="Times New Roman"/>
                <w:sz w:val="26"/>
                <w:szCs w:val="26"/>
              </w:rPr>
              <w:t>. ярмарки вакансий). Организация массовых мероприятий по встрече работодателей и потенциальных кандидатов на открытые вакансии. Могут проводиться на базе ШОП, РОП, выездные в точке встречи депутата (кандидата) с избирателями, онлайн.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4.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Адресные ярмарки вакансий - трудоустройство представителей социально-незащищенных слоев населения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Трудоустройство представителей социально-уязвимых групп населения на предприятия социально-ориентированных работодателей, в том числе через проведение «адресных» ярмарок вакансий.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5.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Карьерные мастерские для соискателей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Проведение на площадке проекта мероприятий для граждан, способствующих трудоустройству. 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6.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Обучающие мероприятия.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обучения, переквалификации, повышения квалификации граждан совместно с учебными заведениями региона. Организация бесплатного профессионального обучения и дополнительного профессионального образования безработных гр</w:t>
            </w:r>
            <w:r w:rsidR="007032C1">
              <w:rPr>
                <w:rFonts w:ascii="Times New Roman" w:hAnsi="Times New Roman"/>
                <w:sz w:val="26"/>
                <w:szCs w:val="26"/>
              </w:rPr>
              <w:t>аждан с помощью ресурсов порталов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Госуслуги</w:t>
            </w:r>
            <w:proofErr w:type="spellEnd"/>
            <w:r w:rsidR="007032C1">
              <w:rPr>
                <w:rFonts w:ascii="Times New Roman" w:hAnsi="Times New Roman"/>
                <w:sz w:val="26"/>
                <w:szCs w:val="26"/>
              </w:rPr>
              <w:t xml:space="preserve"> и «Работа России»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 xml:space="preserve"> на базе Цифровых пунктов карьерного развития.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7.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Обучение заключению социального контракта.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для малоимущих граждан обучения по заключению социального контракта. Помощь в оформлении заявки и подачи информации в органы социальной защиты.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8.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Организация методической и информационной поддержки граждан.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рассылки полезных информационных материалов пользователям, зарегистрированным в базе проекта: лекции, инструкции, ссылки на полезные ресурсы, нормативные правовые акты и т.п.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9.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Женские клубы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Организация на площадке ШОП или </w:t>
            </w:r>
            <w:r w:rsidR="007032C1">
              <w:rPr>
                <w:rFonts w:ascii="Times New Roman" w:hAnsi="Times New Roman"/>
                <w:sz w:val="26"/>
                <w:szCs w:val="26"/>
              </w:rPr>
              <w:t>Р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>ОП клуба, участниками которого, в том числе, будут являться женщины – члены семей участников СВО и женщины, переехавшие из новых субъектов РФ.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10.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Ярмарки вакансий для вновь открывающихся предприятий.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Организация мероприятий по встрече работодателей вновь открывающихся предприятий, в том числе на </w:t>
            </w:r>
            <w:r w:rsidRPr="00EB0EE3">
              <w:rPr>
                <w:rFonts w:ascii="Times New Roman" w:hAnsi="Times New Roman"/>
                <w:sz w:val="26"/>
                <w:szCs w:val="26"/>
              </w:rPr>
              <w:lastRenderedPageBreak/>
              <w:t>стадии инвестиционного проекта или строительства/запуска производства и потенциальных кандидатов на открытые вакансии.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11.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Консультации по защите трудовых прав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бесплатных консультаций граждан по вопросам их трудовых прав в различных ситуациях: отпуск, отпуск по болезни, отпуск в связи с рождением ребенка, увольнение, сокращение штатов и т.п.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12.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Наставничество.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Организация карьерного трека граждан, заинтересованных в профессиональном развитии, с помощью сопровождения их деятельности </w:t>
            </w:r>
            <w:r w:rsidR="007032C1">
              <w:rPr>
                <w:rFonts w:ascii="Times New Roman" w:hAnsi="Times New Roman"/>
                <w:sz w:val="26"/>
                <w:szCs w:val="26"/>
              </w:rPr>
              <w:t xml:space="preserve">членами Партии - 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>руководителями любого уровня организаций и компаний региона.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13.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Совместные мероприятия с МГЕР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В рамках </w:t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коллаборации</w:t>
            </w:r>
            <w:proofErr w:type="spellEnd"/>
            <w:r w:rsidRPr="00EB0EE3">
              <w:rPr>
                <w:rFonts w:ascii="Times New Roman" w:hAnsi="Times New Roman"/>
                <w:sz w:val="26"/>
                <w:szCs w:val="26"/>
              </w:rPr>
              <w:t xml:space="preserve"> активисты МГЕР будут проводить презентацию проекта «Моя карьера с Единой Россией» в вузах и </w:t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ссузах</w:t>
            </w:r>
            <w:proofErr w:type="spellEnd"/>
            <w:r w:rsidRPr="00EB0EE3">
              <w:rPr>
                <w:rFonts w:ascii="Times New Roman" w:hAnsi="Times New Roman"/>
                <w:sz w:val="26"/>
                <w:szCs w:val="26"/>
              </w:rPr>
              <w:t xml:space="preserve"> и приглашать студентов на партийные площадки, где их будут ждать встречи с представителями крупных работодателей. Сбор работодателей осуществляет партийный проект «Моя карьера с Единой Россией».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14.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Кадры для села (Земля добра)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переподготовки и трудоустройства демобилизованных участников СВО на предприятиях агропромышленного комплекса и в смежных отраслях.</w:t>
            </w:r>
          </w:p>
          <w:p w:rsidR="001F7178" w:rsidRPr="00EB0EE3" w:rsidRDefault="0049142B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Кадры для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Организация переподготовки и трудоустройства граждан, желающих работать в </w:t>
            </w:r>
            <w:r w:rsidR="0049142B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>-отрасли.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Аудитория проекта – граждане, чье базовое образование соответствует заявленным работодателем критериям, но чья квалификация утрачена в результате длительного перерыва в стаже и/или чье актуальное место работы не связано с полученной ранее квалификацией.</w:t>
            </w:r>
          </w:p>
          <w:p w:rsidR="001F7178" w:rsidRPr="0049142B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16.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Pr="00EB0EE3">
              <w:rPr>
                <w:rFonts w:ascii="Times New Roman" w:hAnsi="Times New Roman"/>
                <w:sz w:val="26"/>
                <w:szCs w:val="26"/>
              </w:rPr>
              <w:t>Профориентационны</w:t>
            </w:r>
            <w:r w:rsidR="007032C1">
              <w:rPr>
                <w:rFonts w:ascii="Times New Roman" w:hAnsi="Times New Roman"/>
                <w:sz w:val="26"/>
                <w:szCs w:val="26"/>
              </w:rPr>
              <w:t>е</w:t>
            </w:r>
            <w:proofErr w:type="spellEnd"/>
            <w:r w:rsidR="007032C1">
              <w:rPr>
                <w:rFonts w:ascii="Times New Roman" w:hAnsi="Times New Roman"/>
                <w:sz w:val="26"/>
                <w:szCs w:val="26"/>
              </w:rPr>
              <w:t xml:space="preserve"> мероприятия для ветеранов СВО, в том числе в местах прохождения реабилитации</w:t>
            </w:r>
            <w:r w:rsidR="0049142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цикла семинаров и/или экскурсий на предприятия для ветеранов СВО с участием депутата Партии</w:t>
            </w:r>
            <w:r w:rsidR="0049142B">
              <w:rPr>
                <w:rFonts w:ascii="Times New Roman" w:hAnsi="Times New Roman"/>
                <w:sz w:val="26"/>
                <w:szCs w:val="26"/>
              </w:rPr>
              <w:t xml:space="preserve"> или руководителей предприятий –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 xml:space="preserve"> членов Партии.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17.</w:t>
            </w:r>
            <w:r w:rsidRPr="00EB0EE3">
              <w:rPr>
                <w:rFonts w:ascii="Times New Roman" w:hAnsi="Times New Roman"/>
                <w:sz w:val="26"/>
                <w:szCs w:val="26"/>
              </w:rPr>
              <w:tab/>
              <w:t>Мероприятия по профориентации и трудоустройству детей на летний период.</w:t>
            </w:r>
          </w:p>
          <w:p w:rsidR="001F7178" w:rsidRPr="00EB0EE3" w:rsidRDefault="001F7178" w:rsidP="001F717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Организация мероприятий по встрече работодателей и школьников, желающих получить работу в летний период в форме лекций, семинаров, мастер-классов, ярмарки вакансий.</w:t>
            </w:r>
          </w:p>
        </w:tc>
      </w:tr>
      <w:tr w:rsidR="00AB5F3B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B" w:rsidRPr="00EB0EE3" w:rsidRDefault="00AB5F3B" w:rsidP="00AB5F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B" w:rsidRPr="00EB0EE3" w:rsidRDefault="00AB5F3B" w:rsidP="00AB5F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 xml:space="preserve">Индивидуальные показатели эффективности проекта, включая </w:t>
            </w:r>
            <w:r w:rsidRPr="00EB0EE3">
              <w:rPr>
                <w:rFonts w:ascii="Times New Roman" w:hAnsi="Times New Roman"/>
                <w:sz w:val="26"/>
                <w:szCs w:val="26"/>
              </w:rPr>
              <w:lastRenderedPageBreak/>
              <w:t>источники данных и (или) методику расчета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3B" w:rsidRPr="00320940" w:rsidRDefault="00320940" w:rsidP="003209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="000D1730" w:rsidRPr="00320940">
              <w:rPr>
                <w:rFonts w:ascii="Times New Roman" w:hAnsi="Times New Roman"/>
                <w:sz w:val="26"/>
                <w:szCs w:val="26"/>
              </w:rPr>
              <w:t xml:space="preserve">е менее </w:t>
            </w:r>
            <w:r w:rsidR="00AB5F3B" w:rsidRPr="00320940">
              <w:rPr>
                <w:rFonts w:ascii="Times New Roman" w:hAnsi="Times New Roman"/>
                <w:sz w:val="26"/>
                <w:szCs w:val="26"/>
              </w:rPr>
              <w:t xml:space="preserve">50 тысяч </w:t>
            </w:r>
            <w:r w:rsidR="000D1730" w:rsidRPr="00320940">
              <w:rPr>
                <w:rFonts w:ascii="Times New Roman" w:hAnsi="Times New Roman"/>
                <w:sz w:val="26"/>
                <w:szCs w:val="26"/>
              </w:rPr>
              <w:t xml:space="preserve">трудоустроенных в рамках проекта </w:t>
            </w:r>
            <w:r w:rsidR="00AB5F3B" w:rsidRPr="00320940">
              <w:rPr>
                <w:rFonts w:ascii="Times New Roman" w:hAnsi="Times New Roman"/>
                <w:sz w:val="26"/>
                <w:szCs w:val="26"/>
              </w:rPr>
              <w:t>в год.</w:t>
            </w:r>
          </w:p>
          <w:p w:rsidR="00AB5F3B" w:rsidRPr="009D4481" w:rsidRDefault="00AB5F3B" w:rsidP="00AB5F3B">
            <w:pPr>
              <w:pStyle w:val="a3"/>
              <w:spacing w:after="0" w:line="240" w:lineRule="auto"/>
              <w:ind w:left="32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D4481">
              <w:rPr>
                <w:rFonts w:ascii="Times New Roman" w:hAnsi="Times New Roman"/>
                <w:i/>
                <w:sz w:val="26"/>
                <w:szCs w:val="26"/>
              </w:rPr>
              <w:t xml:space="preserve">Рассчитывается по данным отчетов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Координаторов партийного</w:t>
            </w:r>
            <w:r w:rsidRPr="009D4481">
              <w:rPr>
                <w:rFonts w:ascii="Times New Roman" w:hAnsi="Times New Roman"/>
                <w:i/>
                <w:sz w:val="26"/>
                <w:szCs w:val="26"/>
              </w:rPr>
              <w:t xml:space="preserve"> проекта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в субъектах РФ.</w:t>
            </w:r>
          </w:p>
          <w:p w:rsidR="000D1730" w:rsidRPr="00320940" w:rsidRDefault="00320940" w:rsidP="003209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</w:t>
            </w:r>
            <w:r w:rsidR="000D1730" w:rsidRPr="00320940">
              <w:rPr>
                <w:rFonts w:ascii="Times New Roman" w:hAnsi="Times New Roman"/>
                <w:sz w:val="26"/>
                <w:szCs w:val="26"/>
              </w:rPr>
              <w:t xml:space="preserve">е менее 200 тысяч участников </w:t>
            </w:r>
            <w:r w:rsidRPr="00320940">
              <w:rPr>
                <w:rFonts w:ascii="Times New Roman" w:hAnsi="Times New Roman"/>
                <w:sz w:val="26"/>
                <w:szCs w:val="26"/>
              </w:rPr>
              <w:t xml:space="preserve">мероприятий проекта </w:t>
            </w:r>
            <w:r w:rsidR="000D1730" w:rsidRPr="00320940">
              <w:rPr>
                <w:rFonts w:ascii="Times New Roman" w:hAnsi="Times New Roman"/>
                <w:sz w:val="26"/>
                <w:szCs w:val="26"/>
              </w:rPr>
              <w:t>в год.</w:t>
            </w:r>
          </w:p>
          <w:p w:rsidR="00AB5F3B" w:rsidRPr="000D1730" w:rsidRDefault="00AB5F3B" w:rsidP="000D1730">
            <w:pPr>
              <w:pStyle w:val="a3"/>
              <w:spacing w:after="0" w:line="240" w:lineRule="auto"/>
              <w:ind w:left="321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D1730">
              <w:rPr>
                <w:rFonts w:ascii="Times New Roman" w:hAnsi="Times New Roman"/>
                <w:i/>
                <w:sz w:val="26"/>
                <w:szCs w:val="26"/>
              </w:rPr>
              <w:t>Рассчитывается по данным отчетов Координаторов партийного проекта в субъектах РФ.</w:t>
            </w:r>
          </w:p>
        </w:tc>
      </w:tr>
      <w:tr w:rsidR="00375A89" w:rsidRPr="00EB0EE3" w:rsidTr="005709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EB0EE3" w:rsidRDefault="00375A89" w:rsidP="007B66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0EE3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89" w:rsidRPr="00F17198" w:rsidRDefault="0049142B" w:rsidP="007B668B">
            <w:pPr>
              <w:spacing w:after="0" w:line="240" w:lineRule="auto"/>
              <w:jc w:val="both"/>
              <w:rPr>
                <w:rFonts w:ascii="Times New Roman" w:hAnsi="Times New Roman"/>
                <w:color w:val="80808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2023–</w:t>
            </w:r>
            <w:r w:rsidR="00F17198" w:rsidRPr="00F17198">
              <w:rPr>
                <w:rFonts w:ascii="Times New Roman" w:hAnsi="Times New Roman"/>
                <w:sz w:val="26"/>
                <w:szCs w:val="26"/>
              </w:rPr>
              <w:t>2026 гг.</w:t>
            </w:r>
          </w:p>
        </w:tc>
      </w:tr>
    </w:tbl>
    <w:p w:rsidR="00D058FD" w:rsidRPr="00EB0EE3" w:rsidRDefault="00D058FD" w:rsidP="005709A8">
      <w:pPr>
        <w:rPr>
          <w:rFonts w:ascii="Times New Roman" w:hAnsi="Times New Roman"/>
          <w:sz w:val="26"/>
          <w:szCs w:val="26"/>
        </w:rPr>
      </w:pPr>
    </w:p>
    <w:sectPr w:rsidR="00D058FD" w:rsidRPr="00EB0EE3" w:rsidSect="007A2B80">
      <w:footerReference w:type="default" r:id="rId7"/>
      <w:pgSz w:w="11906" w:h="16838"/>
      <w:pgMar w:top="142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64" w:rsidRDefault="00406264" w:rsidP="005709A8">
      <w:pPr>
        <w:spacing w:after="0" w:line="240" w:lineRule="auto"/>
      </w:pPr>
      <w:r>
        <w:separator/>
      </w:r>
    </w:p>
  </w:endnote>
  <w:endnote w:type="continuationSeparator" w:id="0">
    <w:p w:rsidR="00406264" w:rsidRDefault="00406264" w:rsidP="0057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14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709A8" w:rsidRPr="005709A8" w:rsidRDefault="005709A8">
        <w:pPr>
          <w:pStyle w:val="a6"/>
          <w:jc w:val="right"/>
          <w:rPr>
            <w:rFonts w:ascii="Times New Roman" w:hAnsi="Times New Roman"/>
          </w:rPr>
        </w:pPr>
        <w:r w:rsidRPr="005709A8">
          <w:rPr>
            <w:rFonts w:ascii="Times New Roman" w:hAnsi="Times New Roman"/>
          </w:rPr>
          <w:fldChar w:fldCharType="begin"/>
        </w:r>
        <w:r w:rsidRPr="005709A8">
          <w:rPr>
            <w:rFonts w:ascii="Times New Roman" w:hAnsi="Times New Roman"/>
          </w:rPr>
          <w:instrText>PAGE   \* MERGEFORMAT</w:instrText>
        </w:r>
        <w:r w:rsidRPr="005709A8">
          <w:rPr>
            <w:rFonts w:ascii="Times New Roman" w:hAnsi="Times New Roman"/>
          </w:rPr>
          <w:fldChar w:fldCharType="separate"/>
        </w:r>
        <w:r w:rsidR="00FE09E4">
          <w:rPr>
            <w:rFonts w:ascii="Times New Roman" w:hAnsi="Times New Roman"/>
            <w:noProof/>
          </w:rPr>
          <w:t>4</w:t>
        </w:r>
        <w:r w:rsidRPr="005709A8">
          <w:rPr>
            <w:rFonts w:ascii="Times New Roman" w:hAnsi="Times New Roman"/>
          </w:rPr>
          <w:fldChar w:fldCharType="end"/>
        </w:r>
      </w:p>
    </w:sdtContent>
  </w:sdt>
  <w:p w:rsidR="005709A8" w:rsidRPr="005709A8" w:rsidRDefault="005709A8">
    <w:pPr>
      <w:pStyle w:val="a6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64" w:rsidRDefault="00406264" w:rsidP="005709A8">
      <w:pPr>
        <w:spacing w:after="0" w:line="240" w:lineRule="auto"/>
      </w:pPr>
      <w:r>
        <w:separator/>
      </w:r>
    </w:p>
  </w:footnote>
  <w:footnote w:type="continuationSeparator" w:id="0">
    <w:p w:rsidR="00406264" w:rsidRDefault="00406264" w:rsidP="0057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D2E"/>
    <w:multiLevelType w:val="hybridMultilevel"/>
    <w:tmpl w:val="BC161290"/>
    <w:lvl w:ilvl="0" w:tplc="8952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54EF"/>
    <w:multiLevelType w:val="hybridMultilevel"/>
    <w:tmpl w:val="545A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C8D"/>
    <w:multiLevelType w:val="hybridMultilevel"/>
    <w:tmpl w:val="4AD6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9"/>
    <w:rsid w:val="00000D8E"/>
    <w:rsid w:val="00007011"/>
    <w:rsid w:val="000242D5"/>
    <w:rsid w:val="000C4473"/>
    <w:rsid w:val="000C7228"/>
    <w:rsid w:val="000D1730"/>
    <w:rsid w:val="000E2BF9"/>
    <w:rsid w:val="001157F5"/>
    <w:rsid w:val="0015695D"/>
    <w:rsid w:val="001833D3"/>
    <w:rsid w:val="001F7178"/>
    <w:rsid w:val="00246248"/>
    <w:rsid w:val="0028718B"/>
    <w:rsid w:val="002A56CC"/>
    <w:rsid w:val="002F4E70"/>
    <w:rsid w:val="00320940"/>
    <w:rsid w:val="00321CFD"/>
    <w:rsid w:val="0033380A"/>
    <w:rsid w:val="00362208"/>
    <w:rsid w:val="00375A89"/>
    <w:rsid w:val="00384578"/>
    <w:rsid w:val="00396013"/>
    <w:rsid w:val="003A3023"/>
    <w:rsid w:val="003A7827"/>
    <w:rsid w:val="003D0693"/>
    <w:rsid w:val="003F7298"/>
    <w:rsid w:val="00406264"/>
    <w:rsid w:val="00422100"/>
    <w:rsid w:val="00461854"/>
    <w:rsid w:val="0049142B"/>
    <w:rsid w:val="004B7BA8"/>
    <w:rsid w:val="005709A8"/>
    <w:rsid w:val="0058139A"/>
    <w:rsid w:val="006001AC"/>
    <w:rsid w:val="00606340"/>
    <w:rsid w:val="006235C5"/>
    <w:rsid w:val="006357F7"/>
    <w:rsid w:val="0067301B"/>
    <w:rsid w:val="00702154"/>
    <w:rsid w:val="007032C1"/>
    <w:rsid w:val="00721F16"/>
    <w:rsid w:val="007236B7"/>
    <w:rsid w:val="00727A32"/>
    <w:rsid w:val="00780122"/>
    <w:rsid w:val="00792F5A"/>
    <w:rsid w:val="007A2B80"/>
    <w:rsid w:val="007A3092"/>
    <w:rsid w:val="007C632F"/>
    <w:rsid w:val="007D5F44"/>
    <w:rsid w:val="00803D2C"/>
    <w:rsid w:val="008332FC"/>
    <w:rsid w:val="008356BC"/>
    <w:rsid w:val="00852ED4"/>
    <w:rsid w:val="00884C03"/>
    <w:rsid w:val="00960765"/>
    <w:rsid w:val="009A7330"/>
    <w:rsid w:val="009D4481"/>
    <w:rsid w:val="00AB5F3B"/>
    <w:rsid w:val="00AD4D8D"/>
    <w:rsid w:val="00AF5870"/>
    <w:rsid w:val="00B241BA"/>
    <w:rsid w:val="00C800DD"/>
    <w:rsid w:val="00D058FD"/>
    <w:rsid w:val="00D07090"/>
    <w:rsid w:val="00D801C1"/>
    <w:rsid w:val="00DA5F4C"/>
    <w:rsid w:val="00DB2A24"/>
    <w:rsid w:val="00DD1E5F"/>
    <w:rsid w:val="00DD5922"/>
    <w:rsid w:val="00E054B5"/>
    <w:rsid w:val="00E21EAD"/>
    <w:rsid w:val="00E662C4"/>
    <w:rsid w:val="00E80FDD"/>
    <w:rsid w:val="00E92780"/>
    <w:rsid w:val="00EB0EE3"/>
    <w:rsid w:val="00F17198"/>
    <w:rsid w:val="00F414E9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8EC85-11E8-45A2-A6AB-5D1E23F8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9A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7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9A8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A2B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Марина Сергеевна</dc:creator>
  <cp:lastModifiedBy>Зайцева Елена Владимировна</cp:lastModifiedBy>
  <cp:revision>6</cp:revision>
  <dcterms:created xsi:type="dcterms:W3CDTF">2024-12-18T10:07:00Z</dcterms:created>
  <dcterms:modified xsi:type="dcterms:W3CDTF">2025-02-06T07:52:00Z</dcterms:modified>
</cp:coreProperties>
</file>